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1" w:rsidRDefault="00677FC1" w:rsidP="00677FC1">
      <w:r>
        <w:rPr>
          <w:rFonts w:hint="eastAsia"/>
        </w:rPr>
        <w:t>2017年03月31日 04:10</w:t>
      </w:r>
      <w:r>
        <w:rPr>
          <w:rFonts w:ascii="Arial" w:hAnsi="Arial" w:cs="Arial"/>
          <w:color w:val="666666"/>
          <w:sz w:val="23"/>
          <w:szCs w:val="23"/>
        </w:rPr>
        <w:t> </w:t>
      </w:r>
    </w:p>
    <w:p w:rsidR="00677FC1" w:rsidRDefault="00677FC1" w:rsidP="00677FC1">
      <w:pPr>
        <w:rPr>
          <w:rFonts w:ascii="Arial" w:hAnsi="Arial" w:cs="Arial" w:hint="eastAsia"/>
          <w:color w:val="1F497D"/>
          <w:sz w:val="23"/>
          <w:szCs w:val="23"/>
        </w:rPr>
      </w:pPr>
      <w:hyperlink r:id="rId5" w:tooltip="王姿琳" w:history="1">
        <w:r>
          <w:rPr>
            <w:rStyle w:val="a3"/>
            <w:rFonts w:cs="Arial" w:hint="eastAsia"/>
            <w:color w:val="3366CC"/>
            <w:sz w:val="23"/>
            <w:szCs w:val="23"/>
            <w:bdr w:val="none" w:sz="0" w:space="0" w:color="auto" w:frame="1"/>
          </w:rPr>
          <w:t>王姿琳</w:t>
        </w:r>
      </w:hyperlink>
      <w:r>
        <w:rPr>
          <w:rFonts w:hint="eastAsia"/>
          <w:color w:val="666666"/>
          <w:sz w:val="23"/>
          <w:szCs w:val="23"/>
        </w:rPr>
        <w:t>／台北報導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網路跨境交易日漸蓬勃，不少國內企業會透過</w:t>
      </w:r>
      <w:bookmarkStart w:id="0" w:name="_GoBack"/>
      <w:r>
        <w:rPr>
          <w:rFonts w:ascii="Arial" w:hAnsi="Arial" w:cs="Arial"/>
          <w:color w:val="333333"/>
          <w:sz w:val="27"/>
          <w:szCs w:val="27"/>
        </w:rPr>
        <w:t>Google</w:t>
      </w:r>
      <w:r>
        <w:rPr>
          <w:rFonts w:hint="eastAsia"/>
          <w:color w:val="333333"/>
          <w:sz w:val="27"/>
          <w:szCs w:val="27"/>
        </w:rPr>
        <w:t>、</w:t>
      </w:r>
      <w:r>
        <w:rPr>
          <w:rFonts w:ascii="Arial" w:hAnsi="Arial" w:cs="Arial"/>
          <w:color w:val="333333"/>
          <w:sz w:val="27"/>
          <w:szCs w:val="27"/>
        </w:rPr>
        <w:t>Facebook</w:t>
      </w:r>
      <w:r>
        <w:rPr>
          <w:rFonts w:hint="eastAsia"/>
          <w:color w:val="333333"/>
          <w:sz w:val="27"/>
          <w:szCs w:val="27"/>
        </w:rPr>
        <w:t>等網站刊登網路廣告</w:t>
      </w:r>
      <w:bookmarkEnd w:id="0"/>
      <w:r>
        <w:rPr>
          <w:rFonts w:hint="eastAsia"/>
          <w:color w:val="333333"/>
          <w:sz w:val="27"/>
          <w:szCs w:val="27"/>
        </w:rPr>
        <w:t>，財政部台北國稅局提醒，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因為這些網站在我國境內沒有固定的營業場所，也沒有相關的營業代理人，所以這些網站收取的報酬，應由</w:t>
      </w:r>
      <w:r>
        <w:rPr>
          <w:rFonts w:hint="eastAsia"/>
          <w:b/>
          <w:bCs/>
          <w:color w:val="FF0000"/>
          <w:sz w:val="27"/>
          <w:szCs w:val="27"/>
          <w:u w:val="single"/>
        </w:rPr>
        <w:t>我國營利事業在給付日起</w:t>
      </w: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10</w:t>
      </w:r>
      <w:r>
        <w:rPr>
          <w:rFonts w:hint="eastAsia"/>
          <w:b/>
          <w:bCs/>
          <w:color w:val="FF0000"/>
          <w:sz w:val="27"/>
          <w:szCs w:val="27"/>
          <w:u w:val="single"/>
        </w:rPr>
        <w:t>日內，依法辦理扣繳與申報，不然就會被國稅局處罰</w:t>
      </w:r>
      <w:r>
        <w:rPr>
          <w:rFonts w:hint="eastAsia"/>
          <w:color w:val="333333"/>
          <w:sz w:val="27"/>
          <w:szCs w:val="27"/>
        </w:rPr>
        <w:t>。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官員說明，因應網路交易盛行，很多國內企業為了開疆闢土，會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委託外國營利事業在搜尋引擎、社群網站或拍賣平台等登載網路社群廣告，並使用信用卡支付應付款項</w:t>
      </w:r>
      <w:r>
        <w:rPr>
          <w:rFonts w:hint="eastAsia"/>
          <w:color w:val="333333"/>
          <w:sz w:val="27"/>
          <w:szCs w:val="27"/>
        </w:rPr>
        <w:t>。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不過，由於這些外國企業因在台無固定營業場所，也沒有代理人，根據《所得稅法》第</w:t>
      </w:r>
      <w:r>
        <w:rPr>
          <w:rFonts w:ascii="Arial" w:hAnsi="Arial" w:cs="Arial"/>
          <w:color w:val="333333"/>
          <w:sz w:val="27"/>
          <w:szCs w:val="27"/>
        </w:rPr>
        <w:t>88</w:t>
      </w:r>
      <w:r>
        <w:rPr>
          <w:rFonts w:hint="eastAsia"/>
          <w:color w:val="333333"/>
          <w:sz w:val="27"/>
          <w:szCs w:val="27"/>
        </w:rPr>
        <w:t>條規定，我國企業在付款時，須按規定得扣繳率或扣繳辦法，扣取稅款；另同法第</w:t>
      </w:r>
      <w:r>
        <w:rPr>
          <w:rFonts w:ascii="Arial" w:hAnsi="Arial" w:cs="Arial"/>
          <w:color w:val="333333"/>
          <w:sz w:val="27"/>
          <w:szCs w:val="27"/>
        </w:rPr>
        <w:t>92</w:t>
      </w:r>
      <w:r>
        <w:rPr>
          <w:rFonts w:hint="eastAsia"/>
          <w:color w:val="333333"/>
          <w:sz w:val="27"/>
          <w:szCs w:val="27"/>
        </w:rPr>
        <w:t>條規定，扣繳義務人須在給付日起</w:t>
      </w: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hint="eastAsia"/>
          <w:color w:val="333333"/>
          <w:sz w:val="27"/>
          <w:szCs w:val="27"/>
        </w:rPr>
        <w:t>日內，向國庫繳清扣繳款項，並到稅捐</w:t>
      </w:r>
      <w:proofErr w:type="gramStart"/>
      <w:r>
        <w:rPr>
          <w:rFonts w:hint="eastAsia"/>
          <w:color w:val="333333"/>
          <w:sz w:val="27"/>
          <w:szCs w:val="27"/>
        </w:rPr>
        <w:t>稽</w:t>
      </w:r>
      <w:proofErr w:type="gramEnd"/>
      <w:r>
        <w:rPr>
          <w:rFonts w:hint="eastAsia"/>
          <w:color w:val="333333"/>
          <w:sz w:val="27"/>
          <w:szCs w:val="27"/>
        </w:rPr>
        <w:t>徵機關申報完成。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國稅局官員舉例，轄內甲公司委由境外社群網站公司刊登廣告，並於</w:t>
      </w:r>
      <w:r>
        <w:rPr>
          <w:rFonts w:ascii="Arial" w:hAnsi="Arial" w:cs="Arial"/>
          <w:color w:val="333333"/>
          <w:sz w:val="27"/>
          <w:szCs w:val="27"/>
        </w:rPr>
        <w:t>105</w:t>
      </w:r>
      <w:r>
        <w:rPr>
          <w:rFonts w:hint="eastAsia"/>
          <w:color w:val="333333"/>
          <w:sz w:val="27"/>
          <w:szCs w:val="27"/>
        </w:rPr>
        <w:t>年</w:t>
      </w:r>
      <w:r>
        <w:rPr>
          <w:rFonts w:ascii="Arial" w:hAnsi="Arial" w:cs="Arial"/>
          <w:color w:val="333333"/>
          <w:sz w:val="27"/>
          <w:szCs w:val="27"/>
        </w:rPr>
        <w:t>9</w:t>
      </w:r>
      <w:r>
        <w:rPr>
          <w:rFonts w:hint="eastAsia"/>
          <w:color w:val="333333"/>
          <w:sz w:val="27"/>
          <w:szCs w:val="27"/>
        </w:rPr>
        <w:t>月</w:t>
      </w:r>
      <w:r>
        <w:rPr>
          <w:rFonts w:ascii="Arial" w:hAnsi="Arial" w:cs="Arial"/>
          <w:color w:val="333333"/>
          <w:sz w:val="27"/>
          <w:szCs w:val="27"/>
        </w:rPr>
        <w:t>10</w:t>
      </w:r>
      <w:r>
        <w:rPr>
          <w:rFonts w:hint="eastAsia"/>
          <w:color w:val="333333"/>
          <w:sz w:val="27"/>
          <w:szCs w:val="27"/>
        </w:rPr>
        <w:t>日支付該廣告服務報酬新台幣</w:t>
      </w:r>
      <w:r>
        <w:rPr>
          <w:rFonts w:ascii="Arial" w:hAnsi="Arial" w:cs="Arial"/>
          <w:color w:val="333333"/>
          <w:sz w:val="27"/>
          <w:szCs w:val="27"/>
        </w:rPr>
        <w:t>50</w:t>
      </w:r>
      <w:r>
        <w:rPr>
          <w:rFonts w:hint="eastAsia"/>
          <w:color w:val="333333"/>
          <w:sz w:val="27"/>
          <w:szCs w:val="27"/>
        </w:rPr>
        <w:t>萬元，但因甲公司不諳稅法規定，導致沒有按《各類所得扣繳率標準》第</w:t>
      </w: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hint="eastAsia"/>
          <w:color w:val="333333"/>
          <w:sz w:val="27"/>
          <w:szCs w:val="27"/>
        </w:rPr>
        <w:t>條規定，</w:t>
      </w:r>
      <w:r>
        <w:rPr>
          <w:rFonts w:hint="eastAsia"/>
          <w:b/>
          <w:bCs/>
          <w:color w:val="FF0000"/>
          <w:sz w:val="27"/>
          <w:szCs w:val="27"/>
        </w:rPr>
        <w:t>依給付金額</w:t>
      </w:r>
      <w:r>
        <w:rPr>
          <w:rFonts w:ascii="Arial" w:hAnsi="Arial" w:cs="Arial"/>
          <w:b/>
          <w:bCs/>
          <w:color w:val="FF0000"/>
          <w:sz w:val="27"/>
          <w:szCs w:val="27"/>
        </w:rPr>
        <w:t>20</w:t>
      </w:r>
      <w:r>
        <w:rPr>
          <w:rFonts w:hint="eastAsia"/>
          <w:b/>
          <w:bCs/>
          <w:color w:val="FF0000"/>
          <w:sz w:val="27"/>
          <w:szCs w:val="27"/>
        </w:rPr>
        <w:t>％扣繳稅款。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因此，在被國稅局查獲後，就被補徵扣繳稅額</w:t>
      </w:r>
      <w:r>
        <w:rPr>
          <w:rFonts w:ascii="Arial" w:hAnsi="Arial" w:cs="Arial"/>
          <w:color w:val="333333"/>
          <w:sz w:val="27"/>
          <w:szCs w:val="27"/>
        </w:rPr>
        <w:t>12.5</w:t>
      </w:r>
      <w:r>
        <w:rPr>
          <w:rFonts w:hint="eastAsia"/>
          <w:color w:val="333333"/>
          <w:sz w:val="27"/>
          <w:szCs w:val="27"/>
        </w:rPr>
        <w:t>萬元，並按《所得稅法》第</w:t>
      </w:r>
      <w:r>
        <w:rPr>
          <w:rFonts w:ascii="Arial" w:hAnsi="Arial" w:cs="Arial"/>
          <w:color w:val="333333"/>
          <w:sz w:val="27"/>
          <w:szCs w:val="27"/>
        </w:rPr>
        <w:t>114</w:t>
      </w:r>
      <w:r>
        <w:rPr>
          <w:rFonts w:hint="eastAsia"/>
          <w:color w:val="333333"/>
          <w:sz w:val="27"/>
          <w:szCs w:val="27"/>
        </w:rPr>
        <w:t>條規定處</w:t>
      </w:r>
      <w:r>
        <w:rPr>
          <w:rFonts w:ascii="Arial" w:hAnsi="Arial" w:cs="Arial"/>
          <w:color w:val="333333"/>
          <w:sz w:val="27"/>
          <w:szCs w:val="27"/>
        </w:rPr>
        <w:t>0.5</w:t>
      </w:r>
      <w:r>
        <w:rPr>
          <w:rFonts w:hint="eastAsia"/>
          <w:color w:val="333333"/>
          <w:sz w:val="27"/>
          <w:szCs w:val="27"/>
        </w:rPr>
        <w:t>倍罰鍰，即</w:t>
      </w:r>
      <w:r>
        <w:rPr>
          <w:rFonts w:ascii="Arial" w:hAnsi="Arial" w:cs="Arial"/>
          <w:color w:val="333333"/>
          <w:sz w:val="27"/>
          <w:szCs w:val="27"/>
        </w:rPr>
        <w:t>62,500</w:t>
      </w:r>
      <w:r>
        <w:rPr>
          <w:rFonts w:hint="eastAsia"/>
          <w:color w:val="333333"/>
          <w:sz w:val="27"/>
          <w:szCs w:val="27"/>
        </w:rPr>
        <w:t>元。官員解釋，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由於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50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萬元為已扣除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20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％的淨額，因此補徵的扣繳稅額計算方式為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50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萬元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÷0.8x0.2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＝</w:t>
      </w: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12.5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萬元。</w:t>
      </w:r>
    </w:p>
    <w:p w:rsidR="00677FC1" w:rsidRDefault="00677FC1" w:rsidP="00677FC1">
      <w:pPr>
        <w:pStyle w:val="Web"/>
        <w:spacing w:before="0" w:beforeAutospacing="0" w:after="450" w:afterAutospacing="0"/>
        <w:ind w:left="180"/>
        <w:rPr>
          <w:rFonts w:ascii="Arial" w:hAnsi="Arial" w:cs="Arial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台北國稅局提醒</w:t>
      </w:r>
      <w:r>
        <w:rPr>
          <w:rFonts w:hint="eastAsia"/>
          <w:b/>
          <w:bCs/>
          <w:color w:val="333333"/>
          <w:sz w:val="27"/>
          <w:szCs w:val="27"/>
          <w:u w:val="single"/>
        </w:rPr>
        <w:t>，許多公司會用老闆或個人帳戶的信用卡支付勞務貨款，但以為是在請款日後才須申報，其實，</w:t>
      </w:r>
      <w:r>
        <w:rPr>
          <w:rFonts w:hint="eastAsia"/>
          <w:b/>
          <w:bCs/>
          <w:color w:val="FF0000"/>
          <w:sz w:val="27"/>
          <w:szCs w:val="27"/>
          <w:u w:val="single"/>
        </w:rPr>
        <w:t>所謂給付日起</w:t>
      </w:r>
      <w:r>
        <w:rPr>
          <w:rFonts w:ascii="Arial" w:hAnsi="Arial" w:cs="Arial"/>
          <w:b/>
          <w:bCs/>
          <w:color w:val="FF0000"/>
          <w:sz w:val="27"/>
          <w:szCs w:val="27"/>
          <w:u w:val="single"/>
        </w:rPr>
        <w:t>10</w:t>
      </w:r>
      <w:r>
        <w:rPr>
          <w:rFonts w:hint="eastAsia"/>
          <w:b/>
          <w:bCs/>
          <w:color w:val="FF0000"/>
          <w:sz w:val="27"/>
          <w:szCs w:val="27"/>
          <w:u w:val="single"/>
        </w:rPr>
        <w:t>日內是以刷卡日起算</w:t>
      </w:r>
      <w:r>
        <w:rPr>
          <w:rFonts w:hint="eastAsia"/>
          <w:color w:val="333333"/>
          <w:sz w:val="27"/>
          <w:szCs w:val="27"/>
        </w:rPr>
        <w:t>，呼籲企業要留意申報扣繳憑單期限，不然就會被國稅局處連補帶罰處罰，以維護自身利益。</w:t>
      </w:r>
    </w:p>
    <w:p w:rsidR="004A521C" w:rsidRDefault="00677FC1" w:rsidP="00677FC1"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hint="eastAsia"/>
          <w:color w:val="333333"/>
          <w:sz w:val="27"/>
          <w:szCs w:val="27"/>
        </w:rPr>
        <w:t>工商時報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sectPr w:rsidR="004A5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1"/>
    <w:rsid w:val="004A521C"/>
    <w:rsid w:val="00677FC1"/>
    <w:rsid w:val="00A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F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77FC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77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F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77FC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77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times.com/reporter/1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Tina5</dc:creator>
  <cp:lastModifiedBy>Tina5</cp:lastModifiedBy>
  <cp:revision>1</cp:revision>
  <dcterms:created xsi:type="dcterms:W3CDTF">2017-04-05T03:24:00Z</dcterms:created>
  <dcterms:modified xsi:type="dcterms:W3CDTF">2017-04-05T03:24:00Z</dcterms:modified>
</cp:coreProperties>
</file>